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7F" w:rsidRPr="00AC234B" w:rsidRDefault="003D1C7F" w:rsidP="003D1C7F">
      <w:pPr>
        <w:spacing w:after="0" w:line="280" w:lineRule="exact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val="it-IT"/>
        </w:rPr>
      </w:pPr>
      <w:r w:rsidRPr="00AC234B">
        <w:rPr>
          <w:rFonts w:ascii="Times New Roman" w:hAnsi="Times New Roman" w:cs="Times New Roman"/>
          <w:b/>
          <w:sz w:val="36"/>
          <w:szCs w:val="36"/>
          <w:lang w:val="it-IT"/>
        </w:rPr>
        <w:t>I</w:t>
      </w:r>
      <w:r w:rsidRPr="00B72CC3">
        <w:rPr>
          <w:rFonts w:ascii="Times New Roman" w:eastAsia="Calibri" w:hAnsi="Times New Roman" w:cs="Times New Roman"/>
          <w:b/>
          <w:color w:val="000000"/>
          <w:sz w:val="36"/>
          <w:szCs w:val="36"/>
          <w:lang w:val="sr-Cyrl-CS"/>
        </w:rPr>
        <w:t>nteligentni transport – informacija o varnosti izbrane poti iz točke A do točke B</w:t>
      </w:r>
    </w:p>
    <w:p w:rsidR="003D1C7F" w:rsidRPr="00B84D48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</w:p>
    <w:p w:rsidR="003D1C7F" w:rsidRPr="00B84D48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</w:p>
    <w:p w:rsidR="003D1C7F" w:rsidRPr="00A262C0" w:rsidRDefault="003D1C7F" w:rsidP="00AC2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2C0">
        <w:rPr>
          <w:rFonts w:ascii="Times New Roman" w:hAnsi="Times New Roman" w:cs="Times New Roman"/>
          <w:sz w:val="28"/>
          <w:szCs w:val="28"/>
        </w:rPr>
        <w:t>Nenad Ješić -  89152053</w:t>
      </w:r>
    </w:p>
    <w:p w:rsidR="00407BF6" w:rsidRDefault="00407BF6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VSEBINA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1. UVOD .................................................................................................................................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Obseg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namen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raziskovanja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..............................................</w:t>
      </w:r>
      <w:r w:rsidR="00AC234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2. POJEM ITS .....................................................................................................................</w:t>
      </w:r>
      <w:r w:rsidR="00AC234B"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Osnovna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ideja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opredelitev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...................</w:t>
      </w:r>
      <w:r w:rsidR="00AC234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Učinkovitost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kakovost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storitev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..................</w:t>
      </w:r>
      <w:r w:rsidR="00AC234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Standardizacija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storitev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ITS ................</w:t>
      </w:r>
      <w:r w:rsidR="00AC234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</w:t>
      </w:r>
    </w:p>
    <w:p w:rsidR="00AC234B" w:rsidRPr="007608F0" w:rsidRDefault="00AC234B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2.4.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Storitve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določenih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območjih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..................</w:t>
      </w:r>
      <w:r w:rsidR="00AC234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Oblikovanje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prototipa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ITS-a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</w:t>
      </w:r>
      <w:r w:rsidR="00AC234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</w:t>
      </w:r>
    </w:p>
    <w:p w:rsidR="00AC234B" w:rsidRDefault="00AC234B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234B" w:rsidRDefault="00AC234B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Primer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ITS-ja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www.nenadjesic.com/qusion/app/karta..........................................................</w:t>
      </w:r>
      <w:bookmarkStart w:id="0" w:name="_GoBack"/>
      <w:bookmarkEnd w:id="0"/>
    </w:p>
    <w:p w:rsidR="00AC234B" w:rsidRDefault="00AC234B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234B" w:rsidRDefault="00AC234B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Programske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zahteve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……………………………………………………………………......</w:t>
      </w:r>
    </w:p>
    <w:p w:rsidR="00AC234B" w:rsidRDefault="00AC234B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234B" w:rsidRDefault="00AC234B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Slikovni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pregled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aplikacij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…..</w:t>
      </w:r>
      <w:proofErr w:type="gramEnd"/>
    </w:p>
    <w:p w:rsidR="00AC234B" w:rsidRDefault="00AC234B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234B" w:rsidRDefault="00AC234B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Zaključek</w:t>
      </w:r>
      <w:proofErr w:type="spellEnd"/>
    </w:p>
    <w:p w:rsidR="003D1C7F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AC234B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LITERATURA</w:t>
      </w:r>
    </w:p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Default="003D1C7F"/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1. UVOD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Sposobnost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da se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prilagodijo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novim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razmeram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razumevanje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uporaba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abstraktnih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jmov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predznanja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spopadanje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novo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situacijo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efinicija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inteligence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nteligenca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ima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človeka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kot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člana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prometnega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istema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Ampak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človek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tehnični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član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tako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 je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nezadosten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sistemu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inteligentnih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prometnih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sistemov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Njegova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nespos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obnost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povezovanje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uporabo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informacij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realnem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času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07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pripeljala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zasnove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sistema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zbira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eluje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podatke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prilagodljivo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različnih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situacijah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ki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imenuje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inteligentni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prometni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sistem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ITS. ITS je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nadgradnja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klasične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prometnega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sistema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ki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lahko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izboljša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uspešnost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učinkovitost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varnost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sistema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Obseg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namen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raziskovanja</w:t>
      </w:r>
      <w:proofErr w:type="spellEnd"/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raziskave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oziroma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projektne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naloge</w:t>
      </w:r>
      <w:proofErr w:type="spellEnd"/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bil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raziskati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področje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inteligentnih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prometnih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sistemov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Prvi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tega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projekta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pojasnjuje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osnovne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pojme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ITS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-ja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medtem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ko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drugi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del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prikazuje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demo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praktičen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primer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možnosti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praktične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uporabe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sistema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2. POJEM ITS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-ja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2.1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Osnovni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koncept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opredelitev</w:t>
      </w:r>
      <w:proofErr w:type="spellEnd"/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Trenutno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stanje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zastojev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prevaža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nja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vsih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oblikov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prevoz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rast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potreb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za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prevažanje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spodbudila</w:t>
      </w:r>
      <w:proofErr w:type="spellEnd"/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>koncem</w:t>
      </w:r>
      <w:proofErr w:type="spellEnd"/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20. </w:t>
      </w:r>
      <w:proofErr w:type="spellStart"/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toletja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razvoj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novih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pristopov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načinov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reševanja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problema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mobilnosti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organizacije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prevoza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D1C7F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Inteligentni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prometni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sistemi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zagotavljajo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preglednost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informacij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boljše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upravljanje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izboljšano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odzi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vnost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prometnega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sistema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dobi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lastnosti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inteligentnih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Atribut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inteligentn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pomeni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zmožnost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prilagodljivega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delovanja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spremenljivem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okolju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v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katerem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potrebno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brati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dovolj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podatkov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jih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obdelati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realnem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času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Pred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vstopom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ITS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-ja v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strokovne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slovarje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,so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uporabljana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imena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kot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cestno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prometna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telematika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inteligentni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prometni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sistemi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Po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drugem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svetovnem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ITS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kongresu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Parizu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leta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1994, 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</w:t>
      </w:r>
      <w:proofErr w:type="gram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ITS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vključen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nanstveni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strokovni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slovar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prometa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prometnih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inženirjev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07D14" w:rsidRDefault="00307D14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7D14" w:rsidRPr="007608F0" w:rsidRDefault="00307D14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Učinkovitost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kakovost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storitev</w:t>
      </w:r>
      <w:proofErr w:type="spellEnd"/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ITS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lahko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opredelimo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kot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celovit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nadzor</w:t>
      </w:r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>no</w:t>
      </w:r>
      <w:proofErr w:type="spellEnd"/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>informacijsko-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komunikacijsko</w:t>
      </w:r>
      <w:proofErr w:type="spellEnd"/>
      <w:r w:rsidRPr="000A3E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nadgradnjo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klasičnega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prometnega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sistema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prevoz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njo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zagotovi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znatno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izbol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jšanje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učinkovitosti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>izboljšanje</w:t>
      </w:r>
      <w:proofErr w:type="spellEnd"/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>prometnega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tok</w:t>
      </w:r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bolj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učinkovit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prevoz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potnikov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blag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krepitev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varnosti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prometu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udobje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varnost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potnikov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manj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onesnaževanja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okolja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D1C7F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okviru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ITS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-ja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razvite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•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inteligentna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vozila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,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•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inteligentne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ceste,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•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brezžično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"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pametne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"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kartice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za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plačilo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cestnine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,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•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dinamični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navigacijski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sistemi</w:t>
      </w:r>
      <w:r w:rsidR="00B13C21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,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•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adaptivni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sistemi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semaforiziranih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križišč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,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•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učinkovitejši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javni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prevoz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,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•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hitra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distribucija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pošiljk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podpirana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z </w:t>
      </w:r>
      <w:proofErr w:type="spellStart"/>
      <w:r w:rsidR="00B13C21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</w:t>
      </w: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nternetom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,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•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samodejno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zaznavanje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pozicioniranje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vozila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v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nesreči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,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•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biometrični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sistem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za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za</w:t>
      </w:r>
      <w:r w:rsidR="00B13C21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ščito</w:t>
      </w:r>
      <w:proofErr w:type="spellEnd"/>
      <w:r w:rsidR="00B13C21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B13C21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potnikov</w:t>
      </w:r>
      <w:proofErr w:type="spellEnd"/>
      <w:r w:rsidR="00B13C21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.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</w:p>
    <w:p w:rsidR="003D1C7F" w:rsidRPr="00224BD5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ITS je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koncept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spreminja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pristop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k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rešitvam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smeru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razvoja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znanosti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tehnologije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prometa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tovornega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prometa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.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Rešuje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vse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večji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problem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prometnih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zastojev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onesnaževanja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okolja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učinkovitosti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prometa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varnosti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zaščite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ljudi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blaga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jih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ni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mogoče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rešiti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"</w:t>
      </w:r>
      <w:r w:rsidRPr="00224BD5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build only</w:t>
      </w: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"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pristopom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.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Se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obravnava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kot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nadgradnja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obstoječih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transportnih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sistemov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sicer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kot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informacijsko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-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komunikacijska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nadgradnja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običajnih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transportnih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sistemov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. ITS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funkcionalnosti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posodabljajo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klasične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funkcije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transportnega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prometnega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sistema, da bi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ustvarili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nove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priložnosti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za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reševanje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problemov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. 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Novi,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sodobni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pristop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projektih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za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prometno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infrastr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ukturo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pristop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"</w:t>
      </w:r>
      <w:r w:rsidRPr="00231556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build+ITS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namesto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klasičnega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"</w:t>
      </w:r>
      <w:r w:rsidRPr="00231556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build 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nly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"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pristop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Glavne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sestavine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ITS</w:t>
      </w:r>
      <w:r w:rsidR="00B13C21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-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so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senzorji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informacijsko-komunikacijske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tehnologije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različni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algoritmi.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Celoten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življenjski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cikel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ITS-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ja</w:t>
      </w:r>
      <w:proofErr w:type="spellEnd"/>
      <w:r w:rsidR="00B13C21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prikazan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sliki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2</w:t>
      </w:r>
      <w:proofErr w:type="gramStart"/>
      <w:r w:rsidR="00B13C21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.</w:t>
      </w: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,se</w:t>
      </w:r>
      <w:proofErr w:type="gram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začne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od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določanja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zahtev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specifikacij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ter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operacijskega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koncepta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nato s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funkcionalno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razgradnjo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fizično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sintezo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se gradi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sistem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se nato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ovrednotili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spreminja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uporablja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vzdržuje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koncu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se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potegne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razpade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.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Standardizacija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storitev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ITS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ITS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storitve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standardizirane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mednarodni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ravni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Mednarodna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organizacija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za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standardizacijo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ISO 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eng. International Standardization Organization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najprej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standardizirala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storitve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ITS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-ja,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osredotočene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cestni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promet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leta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1990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dokument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ISO TR 14813-1 - 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Transport information and control systems — Reference model architecture(s) for the TICS sector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Določ</w:t>
      </w:r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>il</w:t>
      </w:r>
      <w:proofErr w:type="spellEnd"/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>osem</w:t>
      </w:r>
      <w:proofErr w:type="spellEnd"/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>funkcionalnih</w:t>
      </w:r>
      <w:proofErr w:type="spellEnd"/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>področij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dvaintrideset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storitev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D1C7F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Opredeljena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funkcionalna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področja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so: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Obveščanje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potnikov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976AAD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Traveller Information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B13C21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pravljanje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prometom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operacijama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3D1C7F" w:rsidRPr="00976AAD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Traffic Management and Operations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B13C21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III. P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omoč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vozniku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nadzor</w:t>
      </w:r>
      <w:proofErr w:type="spellEnd"/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vozi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la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3D1C7F" w:rsidRPr="00976AAD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Driver Assistance and Vehicle Control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B13C21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revoz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blaga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komercialne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operacije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vozil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3D1C7F" w:rsidRPr="00976AAD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Freight Transport and Commercial Vehicle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D1C7F" w:rsidRPr="00976AAD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Operations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B13C21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V.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Javni</w:t>
      </w:r>
      <w:proofErr w:type="spellEnd"/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revoz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3D1C7F" w:rsidRPr="00976AAD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Public Transport Operations),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B13C21" w:rsidRDefault="00B13C21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VI.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Nujne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storitve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3D1C7F" w:rsidRPr="00976AAD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Emergency Service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in </w:t>
      </w:r>
      <w:proofErr w:type="spellStart"/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storitve</w:t>
      </w:r>
      <w:proofErr w:type="spellEnd"/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za</w:t>
      </w:r>
      <w:proofErr w:type="spellEnd"/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stranke</w:t>
      </w:r>
      <w:proofErr w:type="spellEnd"/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Elektron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ska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plačila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976AAD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Electronic Payment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VII</w:t>
      </w:r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proofErr w:type="spellStart"/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sebna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varnost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(Personal Safety).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3C21" w:rsidRDefault="00B13C21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3C21" w:rsidRDefault="00B13C21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3C21" w:rsidRPr="007608F0" w:rsidRDefault="00B13C21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Niz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32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osnovnih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storitev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opredelitev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ISO):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Obveščanje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potnikov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pred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odhodom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pot 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Pre-trip Information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Obveščanje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voznikov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pred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odhodom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pot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On-trip Driver Information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Obveščanje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pred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odhodom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pot v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javnem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prometu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On-trip Public Transport Information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Osebne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informacijske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storitve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(Personal Information Services)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Usmerjanje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navigacija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13C21"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Route Guidance and </w:t>
      </w:r>
      <w:proofErr w:type="gramStart"/>
      <w:r w:rsidR="00B13C21"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Navigation</w:t>
      </w:r>
      <w:r w:rsidR="00B1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proofErr w:type="gramEnd"/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Podpora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načrtovanja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meta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(Transport Planning Support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Upravljanje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prometnega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toka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Traffic Control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>adzor</w:t>
      </w:r>
      <w:proofErr w:type="spellEnd"/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>odprava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incidentov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(Incident Management)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Upravljanje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povpraševanja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(Demand Management)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adzor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nad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krši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tvami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prometnih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predpisov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Policing/Enforcing Traffic Regulations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11.U</w:t>
      </w:r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pravljanje </w:t>
      </w:r>
      <w:proofErr w:type="spellStart"/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>vzdrževanja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infrastrukture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(Infrastructure Maintenance Management)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Izboljšanje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vidljivosti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(Vision Enhancement)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Avtomatizirane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operacije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vo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zil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Automated Vehicle Operation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zogibanje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frontalni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Longitudinal Colision Avoidance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reprečevanje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bočnega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trčenja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Lateral Collision Avoidance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Varnost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ripr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avljenost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Safety Readiness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reprečevanje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trkov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(Pre-crash Restraint Deployment)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18.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Odobritve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za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komercialna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vozila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(Commercial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Vehicle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-Clearance)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19.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Upravni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postopki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za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komercialna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vozila</w:t>
      </w:r>
      <w:proofErr w:type="spellEnd"/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20</w:t>
      </w:r>
      <w:r w:rsidR="00D26BD5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.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Avtomatsko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spremljanje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varnosti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v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cestnem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prometu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Automated Roadside Safety Inspection</w:t>
      </w: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)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21.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Varnostni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nadzor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komercialnih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vozil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instrumentalni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plošči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v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vozilu</w:t>
      </w:r>
      <w:proofErr w:type="spellEnd"/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Upravljanje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komercialnim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voznim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parkom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Commercial Fleet Management)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pravljan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javnim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prevozom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Public Transport Management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Javni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prevoz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zahtevo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Demand-Responsive Public Transport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Upravljanje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skupnim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prevozom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(Shared Transport Management)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Obvestilo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klic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sili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osebno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varnost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Emergency Notification and Personal Security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Upravljanje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vozilima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nujnih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storitev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Emergency Vehicle Management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Obvesti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nevarne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snovi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Hazardous Materials and Incident Information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D26BD5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Elektronske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finančne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transakcije</w:t>
      </w:r>
      <w:proofErr w:type="spellEnd"/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3D1C7F"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Electronic Financial Transactions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30.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Varstvo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javnega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prevoza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Public Travel Security</w:t>
      </w: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)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31.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Povečanje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varnosti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"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ranljivimi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"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udeleženci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v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cestnem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prometu</w:t>
      </w:r>
      <w:proofErr w:type="spellEnd"/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32.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Inteligentne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povezave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delnice</w:t>
      </w:r>
      <w:proofErr w:type="spellEnd"/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 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Nova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klasifikacija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je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voljo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gram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od</w:t>
      </w:r>
      <w:proofErr w:type="gram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leta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1999,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so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osem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storitev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dodane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še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tri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storitve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. 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ITS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osnovne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storitve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ITS Fundamental Services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):</w:t>
      </w:r>
    </w:p>
    <w:p w:rsidR="003D1C7F" w:rsidRPr="007608F0" w:rsidRDefault="00D26BD5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bveščanje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potnikov</w:t>
      </w:r>
      <w:proofErr w:type="spellEnd"/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(Traveler Information)</w:t>
      </w:r>
    </w:p>
    <w:p w:rsidR="003D1C7F" w:rsidRPr="007608F0" w:rsidRDefault="00D26BD5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pravljanje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prometom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operacijami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3D1C7F"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Traffic Management and Operations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</w:p>
    <w:p w:rsidR="003D1C7F" w:rsidRPr="007608F0" w:rsidRDefault="00D26BD5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ozila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3D1C7F"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vehicles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D26BD5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romet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blaga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3D1C7F"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freight transport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avni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prevoz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public transport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),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ujne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storitve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emergency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D26BD5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lektronsk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plačila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zvezi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prevozom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3D1C7F"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Transport Related Electronic Payment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D26BD5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arno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st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oseb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cestnem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prometu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3D1C7F"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Road Transport Related Personal Safety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D26BD5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premljanje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vremenskih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razmer</w:t>
      </w:r>
      <w:proofErr w:type="spellEnd"/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okol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ja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3D1C7F"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Weather and Environmental Monitoring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Pr="007608F0" w:rsidRDefault="00D26BD5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pravljanje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odgovorom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velike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nesreče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3D1C7F"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Disaster Response Management and Coordination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3D1C7F" w:rsidRDefault="00D26BD5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acionalna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varnost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>zaščita</w:t>
      </w:r>
      <w:proofErr w:type="spellEnd"/>
      <w:r w:rsidR="003D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(National Security).</w:t>
      </w:r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07D14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2.4.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Storitve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določenih</w:t>
      </w:r>
      <w:proofErr w:type="spellEnd"/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C7F"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območjih</w:t>
      </w:r>
      <w:proofErr w:type="spellEnd"/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Storitva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obveščanja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potnikov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pred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pot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eng.</w:t>
      </w:r>
      <w:proofErr w:type="spellEnd"/>
      <w:r w:rsidRPr="00B34B44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pre-trip </w:t>
      </w:r>
      <w:proofErr w:type="gramStart"/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information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proofErr w:type="gram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omogoča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uporabnikom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da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iz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katere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koli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lokacije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doma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delovnem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mestu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javnem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prostor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>dobijejo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potrebne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informacij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razpoložljivih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načinih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času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ali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ceni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potovanja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Obveščanje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potovanju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eng.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on-trip information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uporabnikom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realnem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času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turistične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informacije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čas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potovanja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odvisno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ocene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trenutnih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razmer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razpoložljivosti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parki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rnih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mest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prometnih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nesreč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tako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naprej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Informacije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voljo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preko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terminala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avtobusnih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železniških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postajah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tranzitnih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točk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v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vozilih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ali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prenosnih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osebnih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naprav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D1C7F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Informacije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pred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potovanjem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v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času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potovanja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nanašajo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tudi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storitve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usmerjanja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navigacije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ter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izbiro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optimalne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poti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ločenega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cilja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Izbira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najboljše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pot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temelji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podatkih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prometnem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omrežju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javnem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prevozu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Kot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primer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teh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itev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se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navajajo,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glede</w:t>
      </w:r>
      <w:proofErr w:type="spellEnd"/>
      <w:proofErr w:type="gram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dinamično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vodenje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poti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vozilu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integriran</w:t>
      </w:r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>multimodalni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potovalni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vodič</w:t>
      </w:r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vodič</w:t>
      </w:r>
      <w:r w:rsidR="00D26BD5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za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pešce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kolesarske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poti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D1C7F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7D14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="00307D14">
        <w:rPr>
          <w:rFonts w:ascii="Times New Roman" w:eastAsia="Calibri" w:hAnsi="Times New Roman" w:cs="Times New Roman"/>
          <w:color w:val="000000"/>
          <w:sz w:val="24"/>
          <w:szCs w:val="24"/>
        </w:rPr>
        <w:t>Oblikovanje</w:t>
      </w:r>
      <w:proofErr w:type="spellEnd"/>
      <w:r w:rsidR="00307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7D14">
        <w:rPr>
          <w:rFonts w:ascii="Times New Roman" w:eastAsia="Calibri" w:hAnsi="Times New Roman" w:cs="Times New Roman"/>
          <w:color w:val="000000"/>
          <w:sz w:val="24"/>
          <w:szCs w:val="24"/>
        </w:rPr>
        <w:t>prototipa</w:t>
      </w:r>
      <w:proofErr w:type="spellEnd"/>
      <w:r w:rsidR="00307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ITS-ja</w:t>
      </w:r>
    </w:p>
    <w:p w:rsidR="00307D14" w:rsidRDefault="00307D14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D2502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 ITS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domeni,tako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imenovanom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pravljanje</w:t>
      </w:r>
      <w:proofErr w:type="spellEnd"/>
      <w:r w:rsidR="00307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7D14">
        <w:rPr>
          <w:rFonts w:ascii="Times New Roman" w:eastAsia="Calibri" w:hAnsi="Times New Roman" w:cs="Times New Roman"/>
          <w:color w:val="000000"/>
          <w:sz w:val="24"/>
          <w:szCs w:val="24"/>
        </w:rPr>
        <w:t>prometa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</w:t>
      </w:r>
      <w:r w:rsidR="00307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307D14">
        <w:rPr>
          <w:rFonts w:ascii="Times New Roman" w:eastAsia="Calibri" w:hAnsi="Times New Roman" w:cs="Times New Roman"/>
          <w:color w:val="000000"/>
          <w:sz w:val="24"/>
          <w:szCs w:val="24"/>
        </w:rPr>
        <w:t>operacijami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eng.</w:t>
      </w:r>
      <w:proofErr w:type="spellEnd"/>
      <w:r w:rsidRPr="002F5F46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Traffic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Management and Operations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),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obstaja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več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storitev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upravljanje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prometa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pravljanje</w:t>
      </w:r>
      <w:proofErr w:type="spellEnd"/>
      <w:r w:rsidR="00307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mo</w:t>
      </w:r>
      <w:r w:rsidR="00307D14">
        <w:rPr>
          <w:rFonts w:ascii="Times New Roman" w:eastAsia="Calibri" w:hAnsi="Times New Roman" w:cs="Times New Roman"/>
          <w:color w:val="000000"/>
          <w:sz w:val="24"/>
          <w:szCs w:val="24"/>
        </w:rPr>
        <w:t>žnimi</w:t>
      </w:r>
      <w:proofErr w:type="spellEnd"/>
      <w:r w:rsidR="00307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7D14">
        <w:rPr>
          <w:rFonts w:ascii="Times New Roman" w:eastAsia="Calibri" w:hAnsi="Times New Roman" w:cs="Times New Roman"/>
          <w:color w:val="000000"/>
          <w:sz w:val="24"/>
          <w:szCs w:val="24"/>
        </w:rPr>
        <w:t>incidenti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prometu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upravljanje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povpraševanja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3D1C7F" w:rsidRPr="007608F0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upravljanje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vzdrževanje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prometne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infrastrukture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•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identifikacija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storilca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.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Vodenje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prometa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(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eng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. 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Traffic Control</w:t>
      </w: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) se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nanaša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upravljanje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prometnih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tokov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ko</w:t>
      </w:r>
      <w:r w:rsidR="00307D14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</w:t>
      </w:r>
      <w:proofErr w:type="spellEnd"/>
      <w:r w:rsidR="00307D14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v </w:t>
      </w:r>
      <w:proofErr w:type="spellStart"/>
      <w:r w:rsidR="00307D14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mreži</w:t>
      </w:r>
      <w:proofErr w:type="spellEnd"/>
      <w:r w:rsidR="00307D14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307D14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mestnih</w:t>
      </w:r>
      <w:proofErr w:type="spellEnd"/>
      <w:r w:rsidR="00307D14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307D14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cestah</w:t>
      </w:r>
      <w:proofErr w:type="spellEnd"/>
      <w:r w:rsidR="00307D14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tako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tudi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izven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mest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. Te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storitve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so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upravljanje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semaforjev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spremenljiva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prometna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sporočila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nadzor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dostopa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do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avtoceste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nadzor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hitrosti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upravljanje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parkiranja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tako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naprej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.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 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Upravljanje</w:t>
      </w:r>
      <w:proofErr w:type="spellEnd"/>
      <w:r w:rsidR="00D26BD5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z incidenti</w:t>
      </w: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v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prometu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pomeni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nadzor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odpravo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izrednih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dogodkov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cestah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odkrivanje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odziv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raščišćivanje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incidentov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napovedovanje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preprečevanje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nesreč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preprečitev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naknadnih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nesreč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.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Osebna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varnost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v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cestnem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prometu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(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eng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. 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Road Tr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ansport Related Personal Safety</w:t>
      </w: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),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pomeni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storitve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nadzora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varovanja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v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vozilih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javnega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prometa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javnih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prometnih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postajah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sisteme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nadzora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pešcev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,</w:t>
      </w:r>
      <w:r w:rsidR="00D26BD5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opozorilni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sistem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dela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cesti.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Spremljanje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vremenskih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razmer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okolja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(</w:t>
      </w:r>
      <w:proofErr w:type="spellStart"/>
      <w:proofErr w:type="gram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eng.Weather</w:t>
      </w:r>
      <w:proofErr w:type="spellEnd"/>
      <w:proofErr w:type="gramEnd"/>
      <w:r w:rsidRPr="002B7517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and Environmental Monitoring</w:t>
      </w: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),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pomeni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storitve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nadzora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vremenskih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razmer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cestah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nadzora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onesnaževanja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spremljanje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ravni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vode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ali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ledu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tako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naprej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.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Upravljanje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odziva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velike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nesreče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(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eng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. </w:t>
      </w:r>
      <w:r w:rsidRPr="00B84D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Disaster  Response  Management  and Coordination</w:t>
      </w: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)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združuje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storitve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povezane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z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naravnimi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nesrečami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.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Storitve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jih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zagotavlja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enotna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številka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"112", so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storitve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za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upravljanje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s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podatki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o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večjih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nesrečah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usklajevanje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reševalnih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služb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podobno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.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Na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področju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nacionalne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varnosti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zaščite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(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eng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. National Security)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razvijajo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se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storitve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omogočajo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identifikacijo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nevarnih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vozil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nadzor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gibanja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nevarnih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snovi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nadzor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plinovodov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podobno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.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Pomembnost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ustvarjanja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tega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področja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je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preprečevanje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različnih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terorističnih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napadov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kot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je </w:t>
      </w:r>
      <w:proofErr w:type="spellStart"/>
      <w:proofErr w:type="gram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bil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,</w:t>
      </w:r>
      <w:proofErr w:type="gram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primer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. 11.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septembra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2001.,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ko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so se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zgodili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večkratni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teroristični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napadi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s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pomočjo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ugrabitev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letala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v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Združenih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državah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Amerike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.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 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3.1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Procesne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naloge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sistema</w:t>
      </w: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-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Prilagajanje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obstoječih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podatkov</w:t>
      </w:r>
      <w:proofErr w:type="spellEnd"/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-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Razvoj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sistema za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vnos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obdelavo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podatkov</w:t>
      </w:r>
      <w:proofErr w:type="spellEnd"/>
    </w:p>
    <w:p w:rsidR="003D1C7F" w:rsidRPr="00AC234B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-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Razvoj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sistema za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prikaz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podatkov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na</w:t>
      </w:r>
      <w:proofErr w:type="spellEnd"/>
      <w:r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geo</w:t>
      </w:r>
      <w:r w:rsidR="00D26BD5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D26BD5" w:rsidRPr="00AC234B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področju</w:t>
      </w:r>
      <w:proofErr w:type="spellEnd"/>
    </w:p>
    <w:p w:rsidR="003D1C7F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Prikaz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izbranih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usmeritev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opozoril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težave</w:t>
      </w:r>
      <w:proofErr w:type="spellEnd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7608F0">
        <w:rPr>
          <w:rFonts w:ascii="Times New Roman" w:eastAsia="Calibri" w:hAnsi="Times New Roman" w:cs="Times New Roman"/>
          <w:color w:val="000000"/>
          <w:sz w:val="24"/>
          <w:szCs w:val="24"/>
        </w:rPr>
        <w:t>prometu</w:t>
      </w:r>
      <w:proofErr w:type="spellEnd"/>
    </w:p>
    <w:p w:rsidR="003D1C7F" w:rsidRPr="00B84D48" w:rsidRDefault="003D1C7F" w:rsidP="003D1C7F">
      <w:pPr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C7F" w:rsidRDefault="003D1C7F"/>
    <w:sectPr w:rsidR="003D1C7F" w:rsidSect="00407B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D1C7F"/>
    <w:rsid w:val="00065BCE"/>
    <w:rsid w:val="00307D14"/>
    <w:rsid w:val="003D1C7F"/>
    <w:rsid w:val="00407BF6"/>
    <w:rsid w:val="00AC234B"/>
    <w:rsid w:val="00B13C21"/>
    <w:rsid w:val="00D2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1634"/>
  <w15:docId w15:val="{DBD824FF-C98E-434D-AD2F-B0E91CA6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1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Nenad Ješić</cp:lastModifiedBy>
  <cp:revision>2</cp:revision>
  <dcterms:created xsi:type="dcterms:W3CDTF">2016-08-03T10:10:00Z</dcterms:created>
  <dcterms:modified xsi:type="dcterms:W3CDTF">2016-08-08T05:48:00Z</dcterms:modified>
</cp:coreProperties>
</file>